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F53D31" w:rsidRPr="00686299" w:rsidRDefault="00EF16F2" w:rsidP="00686299">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686299">
        <w:rPr>
          <w:rFonts w:asciiTheme="majorHAnsi" w:eastAsiaTheme="majorEastAsia" w:hAnsiTheme="majorHAnsi" w:cstheme="majorBidi"/>
          <w:sz w:val="16"/>
          <w:szCs w:val="16"/>
        </w:rPr>
        <w:t>6</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686299">
        <w:rPr>
          <w:rFonts w:asciiTheme="majorHAnsi" w:eastAsiaTheme="majorEastAsia" w:hAnsiTheme="majorHAnsi" w:cstheme="majorBidi"/>
          <w:sz w:val="16"/>
          <w:szCs w:val="16"/>
        </w:rPr>
        <w:t xml:space="preserve"> February</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686299" w:rsidRPr="00686299" w:rsidRDefault="00686299" w:rsidP="00686299">
      <w:pPr>
        <w:spacing w:beforeAutospacing="1" w:after="100" w:afterAutospacing="1" w:line="240" w:lineRule="auto"/>
        <w:jc w:val="center"/>
        <w:rPr>
          <w:rFonts w:eastAsia="Times New Roman" w:cstheme="minorHAnsi"/>
          <w:b/>
          <w:color w:val="000000"/>
          <w:sz w:val="26"/>
          <w:szCs w:val="26"/>
        </w:rPr>
      </w:pPr>
      <w:r w:rsidRPr="00686299">
        <w:rPr>
          <w:rFonts w:eastAsia="Times New Roman" w:cstheme="minorHAnsi"/>
          <w:b/>
          <w:color w:val="000000"/>
          <w:sz w:val="26"/>
          <w:szCs w:val="26"/>
        </w:rPr>
        <w:t>JOURNAVX</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This new kind of pain reliever acts at the site of the pain, rather than in the brain.</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The initial approval last week was based on comparisons to placebo given to a couple hundred patients undergoing bunionectomies or abdominoplasties. Journavx was superior to place</w:t>
      </w:r>
      <w:r>
        <w:rPr>
          <w:rFonts w:eastAsia="Times New Roman" w:cstheme="minorHAnsi"/>
          <w:color w:val="000000"/>
        </w:rPr>
        <w:t>bo but inferior to hydrocodone/T</w:t>
      </w:r>
      <w:r w:rsidRPr="00686299">
        <w:rPr>
          <w:rFonts w:eastAsia="Times New Roman" w:cstheme="minorHAnsi"/>
          <w:color w:val="000000"/>
        </w:rPr>
        <w:t>ylenol. Patients used ibuprofen for breakthrough pain.</w:t>
      </w:r>
    </w:p>
    <w:p w:rsid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Optimism:</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With all of the negative attitudes among pharmacists and bureaucrats concerning opioid use, it’s exciting to learn of a new approach—blocking pain at its source rather than in the brain (opioids) or spinal cord (stimulators and epidurals). 25 years ago, VIOXX (an anti-inflammatory) was more effective than narcotics for bunionectomy pain.</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Pessimism:</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Topical ice, ethyl chloride and capsaicin cream are helpful for localized temporary pain, but are of little benefit for patients with chronic or internal pain. And nerve blocks, though effective for relief of pain at its site, often leave the patient with intolerable numbness. (Dental pain). Worse, VIOXX was removed from pharmacies because of lawsuits alleging it caused heart attacks. Interestingly, after garnering re-approval by the FDA, Merck pulled it. Billions of dollars were paid out to settle suits, and the 500,000 annual victims of heart attacks were all potential new lawsuits. Popular author John Grisham vividly told the story in King of Torts.</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Problems:</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Most common side effects include rashes and itching, muscle spasms, and high levels of CPK (muscle breakdown product).</w:t>
      </w:r>
      <w:bookmarkStart w:id="0" w:name="_GoBack"/>
      <w:bookmarkEnd w:id="0"/>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It’s not to be taken with strong (and probably moderate) inhibitors of CYP3A, an enzyme involved in metabolism (some antibiotics, diltiazem, amiodarone, anti-virals, anti-funga</w:t>
      </w:r>
      <w:r>
        <w:rPr>
          <w:rFonts w:eastAsia="Times New Roman" w:cstheme="minorHAnsi"/>
          <w:color w:val="000000"/>
        </w:rPr>
        <w:t>ls, tranquilizers, omeprazole, s</w:t>
      </w:r>
      <w:r w:rsidRPr="00686299">
        <w:rPr>
          <w:rFonts w:eastAsia="Times New Roman" w:cstheme="minorHAnsi"/>
          <w:color w:val="000000"/>
        </w:rPr>
        <w:t>imvastatin and grapefruit juice).</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The list price for Journavx is $15.50 per pill.</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It’s a little blue pill like Allegra, and Viagra.......and Fentanyl. It’s stamped VX50, but without a doubt, the street market will soon offer counterfeit blue VX50s containing fentanyl. BEWARE.</w:t>
      </w:r>
    </w:p>
    <w:p w:rsidR="00686299"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Conclusions</w:t>
      </w:r>
      <w:r>
        <w:rPr>
          <w:rFonts w:eastAsia="Times New Roman" w:cstheme="minorHAnsi"/>
          <w:color w:val="000000"/>
        </w:rPr>
        <w:t>:</w:t>
      </w:r>
    </w:p>
    <w:p w:rsidR="00EF16F2" w:rsidRPr="00686299" w:rsidRDefault="00686299" w:rsidP="00686299">
      <w:pPr>
        <w:spacing w:beforeAutospacing="1" w:after="100" w:afterAutospacing="1" w:line="240" w:lineRule="auto"/>
        <w:rPr>
          <w:rFonts w:eastAsia="Times New Roman" w:cstheme="minorHAnsi"/>
          <w:color w:val="000000"/>
        </w:rPr>
      </w:pPr>
      <w:r w:rsidRPr="00686299">
        <w:rPr>
          <w:rFonts w:eastAsia="Times New Roman" w:cstheme="minorHAnsi"/>
          <w:color w:val="000000"/>
        </w:rPr>
        <w:t>And worst of all, Journavx is for acute pain, not chronic pain. Its main value may be preventing the progression from acute pain to street drug addiction. And perhaps also recreational use among teenagers. Hopefully similar meds, with benefit for chronic pain, will come from this.</w:t>
      </w:r>
    </w:p>
    <w:sectPr w:rsidR="00EF16F2" w:rsidRPr="00686299"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47386F"/>
    <w:rsid w:val="004C0854"/>
    <w:rsid w:val="004D1BF8"/>
    <w:rsid w:val="005349D6"/>
    <w:rsid w:val="00572C78"/>
    <w:rsid w:val="00686299"/>
    <w:rsid w:val="00803F76"/>
    <w:rsid w:val="00851F13"/>
    <w:rsid w:val="008F2D2C"/>
    <w:rsid w:val="00A0113B"/>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9397">
      <w:bodyDiv w:val="1"/>
      <w:marLeft w:val="0"/>
      <w:marRight w:val="0"/>
      <w:marTop w:val="0"/>
      <w:marBottom w:val="0"/>
      <w:divBdr>
        <w:top w:val="none" w:sz="0" w:space="0" w:color="auto"/>
        <w:left w:val="none" w:sz="0" w:space="0" w:color="auto"/>
        <w:bottom w:val="none" w:sz="0" w:space="0" w:color="auto"/>
        <w:right w:val="none" w:sz="0" w:space="0" w:color="auto"/>
      </w:divBdr>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E350-3948-4AD4-B240-30C4F4A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2025-01-09T17:26:00Z</cp:lastPrinted>
  <dcterms:created xsi:type="dcterms:W3CDTF">2025-02-12T21:17:00Z</dcterms:created>
  <dcterms:modified xsi:type="dcterms:W3CDTF">2025-02-12T21:17:00Z</dcterms:modified>
</cp:coreProperties>
</file>